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27" w:rsidRPr="00A8276A" w:rsidRDefault="005D346F" w:rsidP="00A409F2">
      <w:pPr>
        <w:ind w:firstLine="708"/>
        <w:jc w:val="center"/>
        <w:rPr>
          <w:rFonts w:ascii="Arial" w:hAnsi="Arial" w:cs="Arial"/>
          <w:b/>
          <w:lang w:val="es-MX"/>
        </w:rPr>
      </w:pPr>
      <w:r w:rsidRPr="00A8276A">
        <w:rPr>
          <w:rFonts w:ascii="Arial" w:hAnsi="Arial" w:cs="Arial"/>
          <w:b/>
          <w:lang w:val="es-MX"/>
        </w:rPr>
        <w:t>ANEXO 13</w:t>
      </w:r>
    </w:p>
    <w:p w:rsidR="005D346F" w:rsidRPr="00A8276A" w:rsidRDefault="00A96514" w:rsidP="005D346F">
      <w:pPr>
        <w:jc w:val="center"/>
        <w:rPr>
          <w:rFonts w:ascii="Arial" w:hAnsi="Arial" w:cs="Arial"/>
          <w:b/>
          <w:lang w:val="es-MX"/>
        </w:rPr>
      </w:pPr>
      <w:r w:rsidRPr="00A8276A">
        <w:rPr>
          <w:rFonts w:ascii="Arial" w:hAnsi="Arial" w:cs="Arial"/>
          <w:b/>
          <w:lang w:val="es-MX"/>
        </w:rPr>
        <w:t>REVELACIÓ</w:t>
      </w:r>
      <w:r w:rsidR="005D346F" w:rsidRPr="00A8276A">
        <w:rPr>
          <w:rFonts w:ascii="Arial" w:hAnsi="Arial" w:cs="Arial"/>
          <w:b/>
          <w:lang w:val="es-MX"/>
        </w:rPr>
        <w:t xml:space="preserve">N DE </w:t>
      </w:r>
      <w:r w:rsidRPr="00A8276A">
        <w:rPr>
          <w:rFonts w:ascii="Arial" w:hAnsi="Arial" w:cs="Arial"/>
          <w:b/>
          <w:lang w:val="es-MX"/>
        </w:rPr>
        <w:t>INFORMACIÓ</w:t>
      </w:r>
      <w:r w:rsidR="005D346F" w:rsidRPr="00A8276A">
        <w:rPr>
          <w:rFonts w:ascii="Arial" w:hAnsi="Arial" w:cs="Arial"/>
          <w:b/>
          <w:lang w:val="es-MX"/>
        </w:rPr>
        <w:t>N</w:t>
      </w:r>
    </w:p>
    <w:p w:rsidR="00486140" w:rsidRPr="00A8276A" w:rsidRDefault="00486140" w:rsidP="00486140">
      <w:pPr>
        <w:jc w:val="center"/>
        <w:rPr>
          <w:rFonts w:ascii="Arial" w:hAnsi="Arial" w:cs="Arial"/>
          <w:lang w:val="es-MX"/>
        </w:rPr>
      </w:pPr>
      <w:r w:rsidRPr="00A8276A">
        <w:rPr>
          <w:rFonts w:ascii="Arial" w:hAnsi="Arial" w:cs="Arial"/>
          <w:lang w:val="es-MX"/>
        </w:rPr>
        <w:t>(Cifras</w:t>
      </w:r>
      <w:r w:rsidR="00C336AE">
        <w:rPr>
          <w:rFonts w:ascii="Arial" w:hAnsi="Arial" w:cs="Arial"/>
          <w:lang w:val="es-MX"/>
        </w:rPr>
        <w:t xml:space="preserve"> </w:t>
      </w:r>
      <w:r w:rsidRPr="00A8276A">
        <w:rPr>
          <w:rFonts w:ascii="Arial" w:hAnsi="Arial" w:cs="Arial"/>
          <w:lang w:val="es-MX"/>
        </w:rPr>
        <w:t>en miles de pesos</w:t>
      </w:r>
      <w:r w:rsidR="00A953AE" w:rsidRPr="00A8276A">
        <w:rPr>
          <w:rFonts w:ascii="Arial" w:hAnsi="Arial" w:cs="Arial"/>
          <w:lang w:val="es-MX"/>
        </w:rPr>
        <w:t xml:space="preserve"> </w:t>
      </w:r>
      <w:r w:rsidRPr="00A8276A">
        <w:rPr>
          <w:rFonts w:ascii="Arial" w:hAnsi="Arial" w:cs="Arial"/>
          <w:lang w:val="es-MX"/>
        </w:rPr>
        <w:t xml:space="preserve">a </w:t>
      </w:r>
      <w:r w:rsidR="00E30F7F">
        <w:rPr>
          <w:rFonts w:ascii="Arial" w:hAnsi="Arial" w:cs="Arial"/>
          <w:lang w:val="es-MX"/>
        </w:rPr>
        <w:t>diciembre</w:t>
      </w:r>
      <w:r w:rsidR="00BE4683" w:rsidRPr="00A8276A">
        <w:rPr>
          <w:rFonts w:ascii="Arial" w:hAnsi="Arial" w:cs="Arial"/>
          <w:lang w:val="es-MX"/>
        </w:rPr>
        <w:t xml:space="preserve"> 2018</w:t>
      </w:r>
      <w:r w:rsidR="00C336AE">
        <w:rPr>
          <w:rFonts w:ascii="Arial" w:hAnsi="Arial" w:cs="Arial"/>
          <w:lang w:val="es-MX"/>
        </w:rPr>
        <w:t xml:space="preserve"> con carácter preliminar</w:t>
      </w:r>
      <w:r w:rsidRPr="00A8276A">
        <w:rPr>
          <w:rFonts w:ascii="Arial" w:hAnsi="Arial" w:cs="Arial"/>
          <w:lang w:val="es-MX"/>
        </w:rPr>
        <w:t>)</w:t>
      </w:r>
    </w:p>
    <w:p w:rsidR="00486140" w:rsidRPr="00A8276A" w:rsidRDefault="00486140" w:rsidP="005D346F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5D346F" w:rsidRPr="00A8276A" w:rsidRDefault="005D346F" w:rsidP="005D346F">
      <w:pPr>
        <w:rPr>
          <w:rFonts w:ascii="Arial" w:hAnsi="Arial" w:cs="Arial"/>
          <w:lang w:val="es-MX"/>
        </w:rPr>
      </w:pPr>
    </w:p>
    <w:p w:rsidR="005D346F" w:rsidRPr="00A8276A" w:rsidRDefault="005D346F" w:rsidP="005D346F">
      <w:pPr>
        <w:jc w:val="both"/>
        <w:rPr>
          <w:rFonts w:ascii="Arial" w:hAnsi="Arial" w:cs="Arial"/>
          <w:b/>
          <w:lang w:val="es-MX"/>
        </w:rPr>
      </w:pPr>
      <w:r w:rsidRPr="00A8276A">
        <w:rPr>
          <w:rFonts w:ascii="Arial" w:hAnsi="Arial" w:cs="Arial"/>
          <w:b/>
          <w:lang w:val="es-MX"/>
        </w:rPr>
        <w:t>1 ACTIVOS EN RIESGO</w:t>
      </w:r>
      <w:r w:rsidR="00486140" w:rsidRPr="00A8276A">
        <w:rPr>
          <w:rFonts w:ascii="Arial" w:hAnsi="Arial" w:cs="Arial"/>
          <w:b/>
          <w:lang w:val="es-MX"/>
        </w:rPr>
        <w:t xml:space="preserve"> </w:t>
      </w:r>
      <w:r w:rsidRPr="00A8276A">
        <w:rPr>
          <w:rFonts w:ascii="Arial" w:hAnsi="Arial" w:cs="Arial"/>
          <w:b/>
          <w:lang w:val="es-MX"/>
        </w:rPr>
        <w:tab/>
      </w:r>
      <w:r w:rsidRPr="00A8276A">
        <w:rPr>
          <w:rFonts w:ascii="Arial" w:hAnsi="Arial" w:cs="Arial"/>
          <w:b/>
          <w:lang w:val="es-MX"/>
        </w:rPr>
        <w:tab/>
      </w:r>
    </w:p>
    <w:p w:rsidR="005D346F" w:rsidRPr="00A8276A" w:rsidRDefault="00892BD5" w:rsidP="005D346F">
      <w:pPr>
        <w:jc w:val="both"/>
        <w:rPr>
          <w:rFonts w:ascii="Arial" w:hAnsi="Arial" w:cs="Arial"/>
          <w:b/>
          <w:lang w:val="es-MX"/>
        </w:rPr>
      </w:pPr>
      <w:r w:rsidRPr="00A8276A">
        <w:rPr>
          <w:rFonts w:ascii="Arial" w:hAnsi="Arial" w:cs="Arial"/>
          <w:b/>
          <w:lang w:val="es-MX"/>
        </w:rPr>
        <w:t>MERCADO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0"/>
        <w:gridCol w:w="1549"/>
        <w:gridCol w:w="1879"/>
      </w:tblGrid>
      <w:tr w:rsidR="005D346F" w:rsidRPr="009771E7" w:rsidTr="007D2D1C">
        <w:trPr>
          <w:trHeight w:val="1076"/>
        </w:trPr>
        <w:tc>
          <w:tcPr>
            <w:tcW w:w="5400" w:type="dxa"/>
            <w:vAlign w:val="center"/>
          </w:tcPr>
          <w:p w:rsidR="005D346F" w:rsidRPr="009771E7" w:rsidRDefault="005D346F" w:rsidP="005D346F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b/>
                <w:bCs/>
                <w:color w:val="000000"/>
                <w:lang w:val="es-MX"/>
              </w:rPr>
              <w:t>Concepto</w:t>
            </w:r>
          </w:p>
        </w:tc>
        <w:tc>
          <w:tcPr>
            <w:tcW w:w="1549" w:type="dxa"/>
            <w:vAlign w:val="center"/>
          </w:tcPr>
          <w:p w:rsidR="005D346F" w:rsidRPr="009771E7" w:rsidRDefault="005D346F" w:rsidP="005D346F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b/>
                <w:bCs/>
                <w:color w:val="000000"/>
                <w:lang w:val="es-MX"/>
              </w:rPr>
              <w:t>Importe de posiciones equivalentes</w:t>
            </w:r>
          </w:p>
        </w:tc>
        <w:tc>
          <w:tcPr>
            <w:tcW w:w="1879" w:type="dxa"/>
            <w:vAlign w:val="center"/>
          </w:tcPr>
          <w:p w:rsidR="005D346F" w:rsidRPr="009771E7" w:rsidRDefault="005D346F" w:rsidP="00B66FA7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Requerimientos </w:t>
            </w:r>
            <w:r w:rsidRPr="009771E7">
              <w:rPr>
                <w:rFonts w:ascii="Arial" w:hAnsi="Arial" w:cs="Arial"/>
                <w:b/>
                <w:bCs/>
                <w:color w:val="000000"/>
                <w:lang w:val="es-MX"/>
              </w:rPr>
              <w:br/>
            </w:r>
            <w:r w:rsidR="00B66FA7" w:rsidRPr="009771E7"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por </w:t>
            </w:r>
            <w:r w:rsidRPr="009771E7">
              <w:rPr>
                <w:rFonts w:ascii="Arial" w:hAnsi="Arial" w:cs="Arial"/>
                <w:b/>
                <w:bCs/>
                <w:color w:val="000000"/>
                <w:lang w:val="es-MX"/>
              </w:rPr>
              <w:t>Pérdidas Inesperadas</w:t>
            </w:r>
          </w:p>
        </w:tc>
      </w:tr>
      <w:tr w:rsidR="00884544" w:rsidRPr="009771E7" w:rsidTr="00A30433">
        <w:tc>
          <w:tcPr>
            <w:tcW w:w="5400" w:type="dxa"/>
            <w:vAlign w:val="center"/>
          </w:tcPr>
          <w:p w:rsidR="00884544" w:rsidRPr="009771E7" w:rsidRDefault="00884544" w:rsidP="00884544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  <w:lang w:val="es-MX"/>
              </w:rPr>
              <w:t>Operaciones en moneda nacional con tasa nominal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  <w:lang w:val="es-MX"/>
              </w:rPr>
            </w:pPr>
            <w:r w:rsidRPr="00884544">
              <w:rPr>
                <w:rFonts w:ascii="Arial" w:hAnsi="Arial" w:cs="Arial"/>
                <w:color w:val="000000"/>
              </w:rPr>
              <w:t>$25,067,284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$2,005,383</w:t>
            </w:r>
          </w:p>
        </w:tc>
      </w:tr>
      <w:tr w:rsidR="00884544" w:rsidRPr="009771E7" w:rsidTr="00A30433">
        <w:tc>
          <w:tcPr>
            <w:tcW w:w="5400" w:type="dxa"/>
            <w:vAlign w:val="center"/>
          </w:tcPr>
          <w:p w:rsidR="00884544" w:rsidRPr="009771E7" w:rsidRDefault="00884544" w:rsidP="00884544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  <w:lang w:val="es-MX"/>
              </w:rPr>
              <w:t>Operaciones con títulos de deuda en moneda nacional con sobretasa y una tasa revisable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$41,224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$3,298</w:t>
            </w:r>
          </w:p>
        </w:tc>
      </w:tr>
      <w:tr w:rsidR="00884544" w:rsidRPr="009771E7" w:rsidTr="00A30433">
        <w:tc>
          <w:tcPr>
            <w:tcW w:w="5400" w:type="dxa"/>
            <w:vAlign w:val="center"/>
          </w:tcPr>
          <w:p w:rsidR="00884544" w:rsidRPr="009771E7" w:rsidRDefault="00884544" w:rsidP="00884544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  <w:lang w:val="es-MX"/>
              </w:rPr>
              <w:t>Operaciones en moneda nacional con tasa real o denominados en UDI's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$5,492,141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$439,371</w:t>
            </w:r>
          </w:p>
        </w:tc>
      </w:tr>
      <w:tr w:rsidR="00884544" w:rsidRPr="009771E7" w:rsidTr="00A30433">
        <w:tc>
          <w:tcPr>
            <w:tcW w:w="5400" w:type="dxa"/>
            <w:vAlign w:val="center"/>
          </w:tcPr>
          <w:p w:rsidR="00884544" w:rsidRPr="009771E7" w:rsidRDefault="00884544" w:rsidP="00884544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  <w:lang w:val="es-MX"/>
              </w:rPr>
              <w:t xml:space="preserve">Operaciones en moneda nacional con tasa de rendimiento referida al crecimiento del salario mínimo general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$6,189,514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$495,161</w:t>
            </w:r>
          </w:p>
        </w:tc>
      </w:tr>
      <w:tr w:rsidR="00884544" w:rsidRPr="009771E7" w:rsidTr="00A30433">
        <w:tc>
          <w:tcPr>
            <w:tcW w:w="5400" w:type="dxa"/>
            <w:vAlign w:val="center"/>
          </w:tcPr>
          <w:p w:rsidR="00884544" w:rsidRPr="009771E7" w:rsidRDefault="00884544" w:rsidP="00884544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  <w:lang w:val="es-MX"/>
              </w:rPr>
              <w:t>Posiciones en UDI's o con rendimiento referido al INPC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$54,325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$4,346</w:t>
            </w:r>
          </w:p>
        </w:tc>
      </w:tr>
      <w:tr w:rsidR="00884544" w:rsidRPr="009771E7" w:rsidTr="00A30433">
        <w:tc>
          <w:tcPr>
            <w:tcW w:w="5400" w:type="dxa"/>
            <w:vAlign w:val="center"/>
          </w:tcPr>
          <w:p w:rsidR="00884544" w:rsidRPr="009771E7" w:rsidRDefault="00884544" w:rsidP="00884544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  <w:lang w:val="es-MX"/>
              </w:rPr>
              <w:t xml:space="preserve">Posiciones en moneda nacional con tasa de rendimiento referida al crecimiento del salario mínimo general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$86,384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$6,911</w:t>
            </w:r>
          </w:p>
        </w:tc>
      </w:tr>
      <w:tr w:rsidR="00884544" w:rsidRPr="009771E7" w:rsidTr="00A30433">
        <w:tc>
          <w:tcPr>
            <w:tcW w:w="5400" w:type="dxa"/>
            <w:vAlign w:val="center"/>
          </w:tcPr>
          <w:p w:rsidR="00884544" w:rsidRPr="009771E7" w:rsidRDefault="00884544" w:rsidP="00884544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  <w:lang w:val="es-MX"/>
              </w:rPr>
              <w:t>Operaciones en moneda extranjera con tasa nominal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$158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$13</w:t>
            </w:r>
          </w:p>
        </w:tc>
      </w:tr>
      <w:tr w:rsidR="00884544" w:rsidRPr="009771E7" w:rsidTr="00A30433">
        <w:tc>
          <w:tcPr>
            <w:tcW w:w="5400" w:type="dxa"/>
            <w:vAlign w:val="center"/>
          </w:tcPr>
          <w:p w:rsidR="00884544" w:rsidRPr="009771E7" w:rsidRDefault="00884544" w:rsidP="00884544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  <w:lang w:val="es-MX"/>
              </w:rPr>
              <w:t>Posiciones en divisas o con rendimiento indizado al tipo de cambio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$0</w:t>
            </w:r>
          </w:p>
        </w:tc>
      </w:tr>
      <w:tr w:rsidR="00884544" w:rsidRPr="009771E7" w:rsidTr="00A30433">
        <w:tc>
          <w:tcPr>
            <w:tcW w:w="5400" w:type="dxa"/>
            <w:vAlign w:val="center"/>
          </w:tcPr>
          <w:p w:rsidR="00884544" w:rsidRPr="009771E7" w:rsidRDefault="00884544" w:rsidP="00884544">
            <w:pPr>
              <w:jc w:val="both"/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  <w:lang w:val="es-MX"/>
              </w:rPr>
              <w:t>Posiciones en acciones o con rendimiento indizado al precio de una acción o grupo de acciones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544" w:rsidRPr="00884544" w:rsidRDefault="00884544" w:rsidP="00884544">
            <w:pPr>
              <w:jc w:val="right"/>
              <w:rPr>
                <w:rFonts w:ascii="Arial" w:hAnsi="Arial" w:cs="Arial"/>
                <w:color w:val="000000"/>
              </w:rPr>
            </w:pPr>
            <w:r w:rsidRPr="00884544">
              <w:rPr>
                <w:rFonts w:ascii="Arial" w:hAnsi="Arial" w:cs="Arial"/>
                <w:color w:val="000000"/>
              </w:rPr>
              <w:t>$0</w:t>
            </w:r>
          </w:p>
        </w:tc>
      </w:tr>
    </w:tbl>
    <w:p w:rsidR="00337E6B" w:rsidRPr="009771E7" w:rsidRDefault="00337E6B" w:rsidP="005D346F">
      <w:pPr>
        <w:jc w:val="both"/>
        <w:rPr>
          <w:rFonts w:ascii="Arial" w:hAnsi="Arial" w:cs="Arial"/>
          <w:lang w:val="es-MX"/>
        </w:rPr>
      </w:pPr>
    </w:p>
    <w:p w:rsidR="003260F2" w:rsidRPr="009771E7" w:rsidRDefault="003260F2" w:rsidP="005D346F">
      <w:pPr>
        <w:jc w:val="both"/>
        <w:rPr>
          <w:rFonts w:ascii="Arial" w:hAnsi="Arial" w:cs="Arial"/>
          <w:b/>
          <w:lang w:val="es-MX"/>
        </w:rPr>
      </w:pPr>
    </w:p>
    <w:p w:rsidR="003260F2" w:rsidRPr="009771E7" w:rsidRDefault="003260F2" w:rsidP="005D346F">
      <w:pPr>
        <w:jc w:val="both"/>
        <w:rPr>
          <w:rFonts w:ascii="Arial" w:hAnsi="Arial" w:cs="Arial"/>
          <w:b/>
          <w:lang w:val="es-MX"/>
        </w:rPr>
      </w:pPr>
    </w:p>
    <w:p w:rsidR="003260F2" w:rsidRPr="009771E7" w:rsidRDefault="003260F2" w:rsidP="005D346F">
      <w:pPr>
        <w:jc w:val="both"/>
        <w:rPr>
          <w:rFonts w:ascii="Arial" w:hAnsi="Arial" w:cs="Arial"/>
          <w:b/>
          <w:lang w:val="es-MX"/>
        </w:rPr>
      </w:pPr>
    </w:p>
    <w:p w:rsidR="003260F2" w:rsidRPr="009771E7" w:rsidRDefault="003260F2" w:rsidP="005D346F">
      <w:pPr>
        <w:jc w:val="both"/>
        <w:rPr>
          <w:rFonts w:ascii="Arial" w:hAnsi="Arial" w:cs="Arial"/>
          <w:b/>
          <w:lang w:val="es-MX"/>
        </w:rPr>
      </w:pPr>
    </w:p>
    <w:p w:rsidR="003260F2" w:rsidRPr="009771E7" w:rsidRDefault="003260F2" w:rsidP="005D346F">
      <w:pPr>
        <w:jc w:val="both"/>
        <w:rPr>
          <w:rFonts w:ascii="Arial" w:hAnsi="Arial" w:cs="Arial"/>
          <w:b/>
          <w:lang w:val="es-MX"/>
        </w:rPr>
      </w:pPr>
    </w:p>
    <w:p w:rsidR="003260F2" w:rsidRPr="009771E7" w:rsidRDefault="003260F2" w:rsidP="005D346F">
      <w:pPr>
        <w:jc w:val="both"/>
        <w:rPr>
          <w:rFonts w:ascii="Arial" w:hAnsi="Arial" w:cs="Arial"/>
          <w:b/>
          <w:lang w:val="es-MX"/>
        </w:rPr>
      </w:pPr>
    </w:p>
    <w:p w:rsidR="003260F2" w:rsidRPr="009771E7" w:rsidRDefault="003260F2" w:rsidP="005D346F">
      <w:pPr>
        <w:jc w:val="both"/>
        <w:rPr>
          <w:rFonts w:ascii="Arial" w:hAnsi="Arial" w:cs="Arial"/>
          <w:b/>
          <w:lang w:val="es-MX"/>
        </w:rPr>
      </w:pPr>
    </w:p>
    <w:p w:rsidR="003260F2" w:rsidRPr="009771E7" w:rsidRDefault="003260F2" w:rsidP="005D346F">
      <w:pPr>
        <w:jc w:val="both"/>
        <w:rPr>
          <w:rFonts w:ascii="Arial" w:hAnsi="Arial" w:cs="Arial"/>
          <w:b/>
          <w:lang w:val="es-MX"/>
        </w:rPr>
      </w:pPr>
    </w:p>
    <w:p w:rsidR="003260F2" w:rsidRPr="009771E7" w:rsidRDefault="003260F2" w:rsidP="005D346F">
      <w:pPr>
        <w:jc w:val="both"/>
        <w:rPr>
          <w:rFonts w:ascii="Arial" w:hAnsi="Arial" w:cs="Arial"/>
          <w:b/>
          <w:lang w:val="es-MX"/>
        </w:rPr>
      </w:pPr>
    </w:p>
    <w:p w:rsidR="00337E6B" w:rsidRPr="009771E7" w:rsidRDefault="00892BD5" w:rsidP="005D346F">
      <w:pPr>
        <w:jc w:val="both"/>
        <w:rPr>
          <w:rFonts w:ascii="Arial" w:hAnsi="Arial" w:cs="Arial"/>
          <w:b/>
          <w:lang w:val="es-MX"/>
        </w:rPr>
      </w:pPr>
      <w:r w:rsidRPr="009771E7">
        <w:rPr>
          <w:rFonts w:ascii="Arial" w:hAnsi="Arial" w:cs="Arial"/>
          <w:b/>
          <w:lang w:val="es-MX"/>
        </w:rPr>
        <w:t>CRÉDITO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596"/>
      </w:tblGrid>
      <w:tr w:rsidR="00A96514" w:rsidRPr="009771E7" w:rsidTr="00A96514">
        <w:tc>
          <w:tcPr>
            <w:tcW w:w="3681" w:type="dxa"/>
            <w:vAlign w:val="center"/>
          </w:tcPr>
          <w:p w:rsidR="00A96514" w:rsidRPr="009771E7" w:rsidRDefault="00A96514" w:rsidP="00A9651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b/>
                <w:bCs/>
                <w:color w:val="000000"/>
              </w:rPr>
              <w:t>Concepto</w:t>
            </w:r>
          </w:p>
        </w:tc>
        <w:tc>
          <w:tcPr>
            <w:tcW w:w="2551" w:type="dxa"/>
            <w:vAlign w:val="center"/>
          </w:tcPr>
          <w:p w:rsidR="00A96514" w:rsidRPr="009771E7" w:rsidRDefault="00A96514" w:rsidP="00A965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71E7">
              <w:rPr>
                <w:rFonts w:ascii="Arial" w:hAnsi="Arial" w:cs="Arial"/>
                <w:b/>
                <w:bCs/>
                <w:color w:val="000000"/>
              </w:rPr>
              <w:t>Activos ponderados por riesgo</w:t>
            </w:r>
          </w:p>
        </w:tc>
        <w:tc>
          <w:tcPr>
            <w:tcW w:w="2596" w:type="dxa"/>
            <w:vAlign w:val="center"/>
          </w:tcPr>
          <w:p w:rsidR="00A96514" w:rsidRPr="009771E7" w:rsidRDefault="00A96514" w:rsidP="00A965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71E7">
              <w:rPr>
                <w:rFonts w:ascii="Arial" w:hAnsi="Arial" w:cs="Arial"/>
                <w:b/>
                <w:bCs/>
                <w:color w:val="000000"/>
              </w:rPr>
              <w:t>Requerimiento por</w:t>
            </w:r>
            <w:r w:rsidRPr="009771E7">
              <w:rPr>
                <w:rFonts w:ascii="Arial" w:hAnsi="Arial" w:cs="Arial"/>
                <w:b/>
                <w:bCs/>
                <w:color w:val="000000"/>
              </w:rPr>
              <w:br/>
              <w:t>Pérdidas Inesperadas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</w:rPr>
              <w:t>Grupo I (ponderados al 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  <w:lang w:val="es-MX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 (ponderados al 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 (ponderados al 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 (ponderados al 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 (ponderados al 100%)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 (ponderados al 120%)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  <w:lang w:val="es-MX"/>
              </w:rPr>
            </w:pPr>
            <w:r w:rsidRPr="009771E7">
              <w:rPr>
                <w:rFonts w:ascii="Arial" w:hAnsi="Arial" w:cs="Arial"/>
                <w:color w:val="000000"/>
              </w:rPr>
              <w:t>Grupo II (ponderados al 150%)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rPr>
          <w:trHeight w:val="106"/>
        </w:trPr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III (ponderados al 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$168,001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$13,440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III (ponderados al 23%)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III (ponderados al 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III (ponderados al 100%)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III (ponderados al 115%)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III (ponderados al 120%)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III (ponderados al 138%)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III (ponderados al 150%)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III (ponderados al 175%)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IV (ponderados al 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IV (ponderados al 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 (ponderados al 10%)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 (ponderados al 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 (ponderados al 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 (ponderados al 115%)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 (ponderados al 150%)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 (ponderados al 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 (ponderados al 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 (ponderados al 75%)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 (ponderados al 100%)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$1,165,875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$93,270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 (ponderados al 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 (ponderados al 23%)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 (ponderados al 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 (ponderados al 57.5%)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 (ponderados al 100%)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 (ponderados al 115%)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 (ponderados al 120%)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 (ponderados al 138%)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 (ponderados al 150%)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$399,163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$31,933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 (ponderados al 172.5%)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VIII (ponderados al 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VIII (ponderados al 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VIII (ponderados al 23%)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VIII (ponderados al 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D379A7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VIII (ponderados al 57%)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D379A7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lastRenderedPageBreak/>
              <w:t>Grupo VIII (ponderados al 100%)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VIII (ponderados al 115%)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VIII (ponderados al 120%)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VIII (ponderados al 138%)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VIII (ponderados al 150%)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VIII (ponderados al 172.5%)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IX (ponderados al 125%)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$294,674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$23,574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X (ponderados al 100%)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$2,535,753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$202,860</w:t>
            </w:r>
          </w:p>
        </w:tc>
      </w:tr>
      <w:tr w:rsidR="003E336D" w:rsidRPr="009771E7" w:rsidTr="00F26C45">
        <w:tc>
          <w:tcPr>
            <w:tcW w:w="3681" w:type="dxa"/>
            <w:vAlign w:val="center"/>
          </w:tcPr>
          <w:p w:rsidR="003E336D" w:rsidRPr="009771E7" w:rsidRDefault="003E336D" w:rsidP="003E336D">
            <w:pPr>
              <w:rPr>
                <w:rFonts w:ascii="Arial" w:hAnsi="Arial" w:cs="Arial"/>
                <w:color w:val="000000"/>
              </w:rPr>
            </w:pPr>
            <w:r w:rsidRPr="009771E7">
              <w:rPr>
                <w:rFonts w:ascii="Arial" w:hAnsi="Arial" w:cs="Arial"/>
                <w:color w:val="000000"/>
              </w:rPr>
              <w:t>Grupo XI (ponderados al 1250%)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$2,529,614</w:t>
            </w:r>
          </w:p>
        </w:tc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E336D" w:rsidRPr="003E336D" w:rsidRDefault="003E336D" w:rsidP="003E336D">
            <w:pPr>
              <w:jc w:val="right"/>
              <w:rPr>
                <w:rFonts w:ascii="Arial" w:hAnsi="Arial" w:cs="Arial"/>
              </w:rPr>
            </w:pPr>
            <w:r w:rsidRPr="003E336D">
              <w:rPr>
                <w:rFonts w:ascii="Arial" w:hAnsi="Arial" w:cs="Arial"/>
              </w:rPr>
              <w:t>$202,369</w:t>
            </w:r>
          </w:p>
        </w:tc>
      </w:tr>
    </w:tbl>
    <w:p w:rsidR="00D4513D" w:rsidRDefault="00D4513D" w:rsidP="009C33F4">
      <w:pPr>
        <w:jc w:val="both"/>
        <w:rPr>
          <w:rFonts w:ascii="Arial" w:hAnsi="Arial" w:cs="Arial"/>
          <w:b/>
          <w:lang w:val="es-MX"/>
        </w:rPr>
      </w:pPr>
    </w:p>
    <w:p w:rsidR="00892BD5" w:rsidRPr="009771E7" w:rsidRDefault="00892BD5" w:rsidP="009C33F4">
      <w:pPr>
        <w:jc w:val="both"/>
        <w:rPr>
          <w:rFonts w:ascii="Arial" w:hAnsi="Arial" w:cs="Arial"/>
          <w:b/>
          <w:lang w:val="es-MX"/>
        </w:rPr>
      </w:pPr>
      <w:r w:rsidRPr="009771E7">
        <w:rPr>
          <w:rFonts w:ascii="Arial" w:hAnsi="Arial" w:cs="Arial"/>
          <w:b/>
          <w:lang w:val="es-MX"/>
        </w:rPr>
        <w:t>OPERACIONAL</w:t>
      </w:r>
    </w:p>
    <w:p w:rsidR="00892BD5" w:rsidRPr="009771E7" w:rsidRDefault="00892BD5" w:rsidP="009C33F4">
      <w:pPr>
        <w:jc w:val="both"/>
        <w:rPr>
          <w:rFonts w:ascii="Arial" w:hAnsi="Arial" w:cs="Arial"/>
          <w:lang w:val="es-MX"/>
        </w:rPr>
      </w:pPr>
      <w:r w:rsidRPr="009771E7">
        <w:rPr>
          <w:rFonts w:ascii="Arial" w:hAnsi="Arial" w:cs="Arial"/>
          <w:lang w:val="es-MX"/>
        </w:rPr>
        <w:t xml:space="preserve">Los activos ponderados sujetos a riesgo operacional al cierre de </w:t>
      </w:r>
      <w:r w:rsidR="00E30F7F" w:rsidRPr="009771E7">
        <w:rPr>
          <w:rFonts w:ascii="Arial" w:hAnsi="Arial" w:cs="Arial"/>
          <w:lang w:val="es-MX"/>
        </w:rPr>
        <w:t>diciembre</w:t>
      </w:r>
      <w:r w:rsidR="00702A19" w:rsidRPr="009771E7">
        <w:rPr>
          <w:rFonts w:ascii="Arial" w:hAnsi="Arial" w:cs="Arial"/>
          <w:lang w:val="es-MX"/>
        </w:rPr>
        <w:t xml:space="preserve"> </w:t>
      </w:r>
      <w:r w:rsidRPr="009771E7">
        <w:rPr>
          <w:rFonts w:ascii="Arial" w:hAnsi="Arial" w:cs="Arial"/>
          <w:lang w:val="es-MX"/>
        </w:rPr>
        <w:t>201</w:t>
      </w:r>
      <w:r w:rsidR="00BE4683" w:rsidRPr="009771E7">
        <w:rPr>
          <w:rFonts w:ascii="Arial" w:hAnsi="Arial" w:cs="Arial"/>
          <w:lang w:val="es-MX"/>
        </w:rPr>
        <w:t>8</w:t>
      </w:r>
      <w:r w:rsidR="00E30F7F" w:rsidRPr="009771E7">
        <w:rPr>
          <w:rFonts w:ascii="Arial" w:hAnsi="Arial" w:cs="Arial"/>
          <w:lang w:val="es-MX"/>
        </w:rPr>
        <w:t xml:space="preserve"> ascienden a $4,580,036</w:t>
      </w:r>
      <w:r w:rsidR="00BE4683" w:rsidRPr="009771E7">
        <w:rPr>
          <w:rFonts w:ascii="Arial" w:hAnsi="Arial" w:cs="Arial"/>
          <w:lang w:val="es-MX"/>
        </w:rPr>
        <w:t>.</w:t>
      </w:r>
    </w:p>
    <w:p w:rsidR="00892BD5" w:rsidRPr="009771E7" w:rsidRDefault="00892BD5" w:rsidP="009C33F4">
      <w:pPr>
        <w:jc w:val="both"/>
        <w:rPr>
          <w:rFonts w:ascii="Arial" w:hAnsi="Arial" w:cs="Arial"/>
          <w:lang w:val="es-MX"/>
        </w:rPr>
      </w:pPr>
    </w:p>
    <w:p w:rsidR="009C33F4" w:rsidRPr="009771E7" w:rsidRDefault="009C33F4" w:rsidP="009C33F4">
      <w:pPr>
        <w:jc w:val="both"/>
        <w:rPr>
          <w:rFonts w:ascii="Arial" w:hAnsi="Arial" w:cs="Arial"/>
          <w:b/>
          <w:lang w:val="es-MX"/>
        </w:rPr>
      </w:pPr>
      <w:r w:rsidRPr="009771E7">
        <w:rPr>
          <w:rFonts w:ascii="Arial" w:hAnsi="Arial" w:cs="Arial"/>
          <w:b/>
          <w:lang w:val="es-MX"/>
        </w:rPr>
        <w:t>2 GESTIÓN</w:t>
      </w:r>
      <w:r w:rsidRPr="009771E7">
        <w:rPr>
          <w:rFonts w:ascii="Arial" w:hAnsi="Arial" w:cs="Arial"/>
          <w:b/>
          <w:lang w:val="es-MX"/>
        </w:rPr>
        <w:tab/>
      </w:r>
    </w:p>
    <w:p w:rsidR="004314DA" w:rsidRPr="009771E7" w:rsidRDefault="009C33F4" w:rsidP="009C33F4">
      <w:pPr>
        <w:jc w:val="both"/>
        <w:rPr>
          <w:rFonts w:ascii="Arial" w:hAnsi="Arial" w:cs="Arial"/>
          <w:bCs/>
          <w:lang w:val="es-MX"/>
        </w:rPr>
      </w:pPr>
      <w:r w:rsidRPr="009771E7">
        <w:rPr>
          <w:rFonts w:ascii="Arial" w:hAnsi="Arial" w:cs="Arial"/>
          <w:lang w:val="es-MX"/>
        </w:rPr>
        <w:t xml:space="preserve">Dentro del Marco de Administración Integral de Riesgos se contempla el Perfil de Riesgo Deseado que </w:t>
      </w:r>
      <w:r w:rsidR="00F3767D" w:rsidRPr="009771E7">
        <w:rPr>
          <w:rFonts w:ascii="Arial" w:hAnsi="Arial" w:cs="Arial"/>
          <w:lang w:val="es-MX"/>
        </w:rPr>
        <w:t xml:space="preserve">el </w:t>
      </w:r>
      <w:r w:rsidR="0044655D" w:rsidRPr="009771E7">
        <w:rPr>
          <w:rFonts w:ascii="Arial" w:hAnsi="Arial" w:cs="Arial"/>
          <w:lang w:val="es-MX"/>
        </w:rPr>
        <w:t>FOVI</w:t>
      </w:r>
      <w:r w:rsidR="00F3767D" w:rsidRPr="009771E7">
        <w:rPr>
          <w:rFonts w:ascii="Arial" w:hAnsi="Arial" w:cs="Arial"/>
          <w:lang w:val="es-MX"/>
        </w:rPr>
        <w:t xml:space="preserve"> </w:t>
      </w:r>
      <w:r w:rsidRPr="009771E7">
        <w:rPr>
          <w:rFonts w:ascii="Arial" w:hAnsi="Arial" w:cs="Arial"/>
          <w:lang w:val="es-MX"/>
        </w:rPr>
        <w:t xml:space="preserve">está dispuesto a asumir de acuerdo a sus </w:t>
      </w:r>
      <w:r w:rsidRPr="009771E7">
        <w:rPr>
          <w:rFonts w:ascii="Arial" w:hAnsi="Arial" w:cs="Arial"/>
          <w:bCs/>
          <w:lang w:val="es-MX"/>
        </w:rPr>
        <w:t xml:space="preserve">estrategias </w:t>
      </w:r>
      <w:r w:rsidRPr="009771E7">
        <w:rPr>
          <w:rFonts w:ascii="Arial" w:hAnsi="Arial" w:cs="Arial"/>
          <w:lang w:val="es-MX"/>
        </w:rPr>
        <w:t xml:space="preserve">para alcanzar sus </w:t>
      </w:r>
      <w:r w:rsidRPr="009771E7">
        <w:rPr>
          <w:rFonts w:ascii="Arial" w:hAnsi="Arial" w:cs="Arial"/>
          <w:bCs/>
          <w:lang w:val="es-MX"/>
        </w:rPr>
        <w:t>objetivos institucionales</w:t>
      </w:r>
      <w:r w:rsidR="004314DA" w:rsidRPr="009771E7">
        <w:rPr>
          <w:rFonts w:ascii="Arial" w:hAnsi="Arial" w:cs="Arial"/>
          <w:bCs/>
          <w:lang w:val="es-MX"/>
        </w:rPr>
        <w:t xml:space="preserve">. </w:t>
      </w:r>
    </w:p>
    <w:p w:rsidR="008F4C42" w:rsidRPr="009771E7" w:rsidRDefault="0078556F" w:rsidP="004314DA">
      <w:pPr>
        <w:jc w:val="both"/>
        <w:rPr>
          <w:rFonts w:ascii="Arial" w:hAnsi="Arial" w:cs="Arial"/>
          <w:bCs/>
          <w:lang w:val="es-MX"/>
        </w:rPr>
      </w:pPr>
      <w:r w:rsidRPr="009771E7">
        <w:rPr>
          <w:rFonts w:ascii="Arial" w:hAnsi="Arial" w:cs="Arial"/>
          <w:bCs/>
          <w:lang w:val="es-MX"/>
        </w:rPr>
        <w:t xml:space="preserve">La gestión </w:t>
      </w:r>
      <w:r w:rsidR="008F4C42" w:rsidRPr="009771E7">
        <w:rPr>
          <w:rFonts w:ascii="Arial" w:hAnsi="Arial" w:cs="Arial"/>
          <w:bCs/>
          <w:lang w:val="es-MX"/>
        </w:rPr>
        <w:t>del</w:t>
      </w:r>
      <w:r w:rsidRPr="009771E7">
        <w:rPr>
          <w:rFonts w:ascii="Arial" w:hAnsi="Arial" w:cs="Arial"/>
          <w:bCs/>
          <w:lang w:val="es-MX"/>
        </w:rPr>
        <w:t xml:space="preserve"> Perfil de Riesgo </w:t>
      </w:r>
      <w:r w:rsidR="0044655D" w:rsidRPr="009771E7">
        <w:rPr>
          <w:rFonts w:ascii="Arial" w:hAnsi="Arial" w:cs="Arial"/>
          <w:bCs/>
          <w:lang w:val="es-MX"/>
        </w:rPr>
        <w:t>D</w:t>
      </w:r>
      <w:r w:rsidRPr="009771E7">
        <w:rPr>
          <w:rFonts w:ascii="Arial" w:hAnsi="Arial" w:cs="Arial"/>
          <w:bCs/>
          <w:lang w:val="es-MX"/>
        </w:rPr>
        <w:t xml:space="preserve">eseado </w:t>
      </w:r>
      <w:r w:rsidR="00BB4D7E" w:rsidRPr="009771E7">
        <w:rPr>
          <w:rFonts w:ascii="Arial" w:hAnsi="Arial" w:cs="Arial"/>
          <w:bCs/>
          <w:lang w:val="es-MX"/>
        </w:rPr>
        <w:t>está</w:t>
      </w:r>
      <w:r w:rsidRPr="009771E7">
        <w:rPr>
          <w:rFonts w:ascii="Arial" w:hAnsi="Arial" w:cs="Arial"/>
          <w:bCs/>
          <w:lang w:val="es-MX"/>
        </w:rPr>
        <w:t xml:space="preserve"> integra</w:t>
      </w:r>
      <w:r w:rsidR="00BB4D7E" w:rsidRPr="009771E7">
        <w:rPr>
          <w:rFonts w:ascii="Arial" w:hAnsi="Arial" w:cs="Arial"/>
          <w:bCs/>
          <w:lang w:val="es-MX"/>
        </w:rPr>
        <w:t xml:space="preserve">da por </w:t>
      </w:r>
      <w:r w:rsidR="008F4C42" w:rsidRPr="009771E7">
        <w:rPr>
          <w:rFonts w:ascii="Arial" w:hAnsi="Arial" w:cs="Arial"/>
          <w:bCs/>
          <w:lang w:val="es-MX"/>
        </w:rPr>
        <w:t xml:space="preserve">cuatro </w:t>
      </w:r>
      <w:r w:rsidR="00BB4D7E" w:rsidRPr="009771E7">
        <w:rPr>
          <w:rFonts w:ascii="Arial" w:hAnsi="Arial" w:cs="Arial"/>
          <w:bCs/>
          <w:lang w:val="es-MX"/>
        </w:rPr>
        <w:t>eje</w:t>
      </w:r>
      <w:r w:rsidR="008F4C42" w:rsidRPr="009771E7">
        <w:rPr>
          <w:rFonts w:ascii="Arial" w:hAnsi="Arial" w:cs="Arial"/>
          <w:bCs/>
          <w:lang w:val="es-MX"/>
        </w:rPr>
        <w:t>s, uno</w:t>
      </w:r>
      <w:r w:rsidR="00BB4D7E" w:rsidRPr="009771E7">
        <w:rPr>
          <w:rFonts w:ascii="Arial" w:hAnsi="Arial" w:cs="Arial"/>
          <w:bCs/>
          <w:lang w:val="es-MX"/>
        </w:rPr>
        <w:t xml:space="preserve"> </w:t>
      </w:r>
      <w:r w:rsidRPr="009771E7">
        <w:rPr>
          <w:rFonts w:ascii="Arial" w:hAnsi="Arial" w:cs="Arial"/>
          <w:bCs/>
          <w:lang w:val="es-MX"/>
        </w:rPr>
        <w:t>de nivel estratégico</w:t>
      </w:r>
      <w:r w:rsidR="008F4C42" w:rsidRPr="009771E7">
        <w:rPr>
          <w:rFonts w:ascii="Arial" w:hAnsi="Arial" w:cs="Arial"/>
          <w:bCs/>
          <w:lang w:val="es-MX"/>
        </w:rPr>
        <w:t xml:space="preserve"> (Vigilancia de Capital),</w:t>
      </w:r>
      <w:r w:rsidR="00BB4D7E" w:rsidRPr="009771E7">
        <w:rPr>
          <w:rFonts w:ascii="Arial" w:hAnsi="Arial" w:cs="Arial"/>
          <w:bCs/>
          <w:lang w:val="es-MX"/>
        </w:rPr>
        <w:t xml:space="preserve"> bajo injerencia del Comité Técnico de FOVI </w:t>
      </w:r>
      <w:r w:rsidR="008F4C42" w:rsidRPr="009771E7">
        <w:rPr>
          <w:rFonts w:ascii="Arial" w:hAnsi="Arial" w:cs="Arial"/>
          <w:bCs/>
          <w:lang w:val="es-MX"/>
        </w:rPr>
        <w:t xml:space="preserve">y tres gestionados por el Comité de Riesgos y la Administración del Fondo (Aseguramiento de Liquidez, Mitigación de Pérdidas Económicas y Optimización Operacional). </w:t>
      </w:r>
    </w:p>
    <w:p w:rsidR="008F4C42" w:rsidRPr="009771E7" w:rsidRDefault="001440D2" w:rsidP="008F4C42">
      <w:pPr>
        <w:jc w:val="both"/>
        <w:rPr>
          <w:rFonts w:ascii="Arial" w:hAnsi="Arial" w:cs="Arial"/>
          <w:lang w:val="es-MX"/>
        </w:rPr>
      </w:pPr>
      <w:r w:rsidRPr="009771E7">
        <w:rPr>
          <w:rFonts w:ascii="Arial" w:hAnsi="Arial" w:cs="Arial"/>
          <w:lang w:val="es-MX"/>
        </w:rPr>
        <w:t>Los objetivos de l</w:t>
      </w:r>
      <w:r w:rsidR="008F4C42" w:rsidRPr="009771E7">
        <w:rPr>
          <w:rFonts w:ascii="Arial" w:hAnsi="Arial" w:cs="Arial"/>
          <w:lang w:val="es-MX"/>
        </w:rPr>
        <w:t xml:space="preserve">a gestión del patrimonio y liquidez en el </w:t>
      </w:r>
      <w:r w:rsidRPr="009771E7">
        <w:rPr>
          <w:rFonts w:ascii="Arial" w:hAnsi="Arial" w:cs="Arial"/>
          <w:lang w:val="es-MX"/>
        </w:rPr>
        <w:t>F</w:t>
      </w:r>
      <w:r w:rsidR="008F4C42" w:rsidRPr="009771E7">
        <w:rPr>
          <w:rFonts w:ascii="Arial" w:hAnsi="Arial" w:cs="Arial"/>
          <w:lang w:val="es-MX"/>
        </w:rPr>
        <w:t>ondo se describe</w:t>
      </w:r>
      <w:r w:rsidRPr="009771E7">
        <w:rPr>
          <w:rFonts w:ascii="Arial" w:hAnsi="Arial" w:cs="Arial"/>
          <w:lang w:val="es-MX"/>
        </w:rPr>
        <w:t>n</w:t>
      </w:r>
      <w:r w:rsidR="008F4C42" w:rsidRPr="009771E7">
        <w:rPr>
          <w:rFonts w:ascii="Arial" w:hAnsi="Arial" w:cs="Arial"/>
          <w:lang w:val="es-MX"/>
        </w:rPr>
        <w:t xml:space="preserve"> a continuación:</w:t>
      </w:r>
    </w:p>
    <w:p w:rsidR="008F4C42" w:rsidRPr="009771E7" w:rsidRDefault="008F4C42" w:rsidP="001440D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771E7">
        <w:rPr>
          <w:rFonts w:ascii="Arial" w:hAnsi="Arial" w:cs="Arial"/>
          <w:sz w:val="22"/>
          <w:szCs w:val="22"/>
        </w:rPr>
        <w:t xml:space="preserve">Vigilancia de Capital: </w:t>
      </w:r>
      <w:r w:rsidR="001440D2" w:rsidRPr="009771E7">
        <w:rPr>
          <w:rFonts w:ascii="Arial" w:hAnsi="Arial" w:cs="Arial"/>
          <w:sz w:val="22"/>
          <w:szCs w:val="22"/>
        </w:rPr>
        <w:t>el Fondo</w:t>
      </w:r>
      <w:r w:rsidRPr="009771E7">
        <w:rPr>
          <w:rFonts w:ascii="Arial" w:hAnsi="Arial" w:cs="Arial"/>
          <w:sz w:val="22"/>
          <w:szCs w:val="22"/>
        </w:rPr>
        <w:t xml:space="preserve"> deberá contar con </w:t>
      </w:r>
      <w:r w:rsidR="001440D2" w:rsidRPr="009771E7">
        <w:rPr>
          <w:rFonts w:ascii="Arial" w:hAnsi="Arial" w:cs="Arial"/>
          <w:sz w:val="22"/>
          <w:szCs w:val="22"/>
        </w:rPr>
        <w:t>Patrimonio</w:t>
      </w:r>
      <w:r w:rsidRPr="009771E7">
        <w:rPr>
          <w:rFonts w:ascii="Arial" w:hAnsi="Arial" w:cs="Arial"/>
          <w:sz w:val="22"/>
          <w:szCs w:val="22"/>
        </w:rPr>
        <w:t xml:space="preserve"> suficiente para cubrir los pasivos contingentes aún en situaciones extremas. Para ello, establece que el Índice de Solvencia de FOVI (valor presente del </w:t>
      </w:r>
      <w:r w:rsidR="001440D2" w:rsidRPr="009771E7">
        <w:rPr>
          <w:rFonts w:ascii="Arial" w:hAnsi="Arial" w:cs="Arial"/>
          <w:sz w:val="22"/>
          <w:szCs w:val="22"/>
        </w:rPr>
        <w:t xml:space="preserve">Patrimonio </w:t>
      </w:r>
      <w:r w:rsidRPr="009771E7">
        <w:rPr>
          <w:rFonts w:ascii="Arial" w:hAnsi="Arial" w:cs="Arial"/>
          <w:sz w:val="22"/>
          <w:szCs w:val="22"/>
        </w:rPr>
        <w:t>remanente) sea mayor a cero.</w:t>
      </w:r>
    </w:p>
    <w:p w:rsidR="001440D2" w:rsidRPr="009771E7" w:rsidRDefault="001440D2" w:rsidP="001440D2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8F4C42" w:rsidRPr="009771E7" w:rsidRDefault="008F4C42" w:rsidP="001440D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771E7">
        <w:rPr>
          <w:rFonts w:ascii="Arial" w:hAnsi="Arial" w:cs="Arial"/>
          <w:sz w:val="22"/>
          <w:szCs w:val="22"/>
        </w:rPr>
        <w:t xml:space="preserve">Aseguramiento de Liquidez: </w:t>
      </w:r>
      <w:r w:rsidR="001440D2" w:rsidRPr="009771E7">
        <w:rPr>
          <w:rFonts w:ascii="Arial" w:hAnsi="Arial" w:cs="Arial"/>
          <w:sz w:val="22"/>
          <w:szCs w:val="22"/>
        </w:rPr>
        <w:t xml:space="preserve">se deberá </w:t>
      </w:r>
      <w:r w:rsidRPr="009771E7">
        <w:rPr>
          <w:rFonts w:ascii="Arial" w:hAnsi="Arial" w:cs="Arial"/>
          <w:sz w:val="22"/>
          <w:szCs w:val="22"/>
        </w:rPr>
        <w:t>cumplir con los niveles de liquidez necesarios para hacer frente a los compromisos de FOVI.</w:t>
      </w:r>
    </w:p>
    <w:p w:rsidR="001440D2" w:rsidRDefault="001440D2" w:rsidP="00EF1DDF">
      <w:pPr>
        <w:jc w:val="both"/>
        <w:rPr>
          <w:rFonts w:ascii="Arial" w:hAnsi="Arial" w:cs="Arial"/>
          <w:iCs/>
          <w:lang w:val="es-MX"/>
        </w:rPr>
      </w:pPr>
    </w:p>
    <w:sectPr w:rsidR="00144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099"/>
    <w:multiLevelType w:val="hybridMultilevel"/>
    <w:tmpl w:val="886ABEA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545961"/>
    <w:multiLevelType w:val="hybridMultilevel"/>
    <w:tmpl w:val="636234A6"/>
    <w:lvl w:ilvl="0" w:tplc="0CAC8298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A5671A6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088AD8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A46B0BC">
      <w:start w:val="5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BA3E96A4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7E669C7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B972D35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02EEE47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C8B67F2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" w15:restartNumberingAfterBreak="0">
    <w:nsid w:val="213D6ACB"/>
    <w:multiLevelType w:val="hybridMultilevel"/>
    <w:tmpl w:val="95CE6762"/>
    <w:lvl w:ilvl="0" w:tplc="7F4CF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8D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E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27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8D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69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27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D2E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A9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F007892"/>
    <w:multiLevelType w:val="hybridMultilevel"/>
    <w:tmpl w:val="ACC0F814"/>
    <w:lvl w:ilvl="0" w:tplc="BBC88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01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6E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A3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0E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E0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4E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C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6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FC6CDC"/>
    <w:multiLevelType w:val="hybridMultilevel"/>
    <w:tmpl w:val="FF12E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C433C"/>
    <w:multiLevelType w:val="hybridMultilevel"/>
    <w:tmpl w:val="471ECD46"/>
    <w:lvl w:ilvl="0" w:tplc="71762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B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8D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0F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E6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AD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E8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4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6F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6F"/>
    <w:rsid w:val="00010A8A"/>
    <w:rsid w:val="00032B75"/>
    <w:rsid w:val="000F74FC"/>
    <w:rsid w:val="001440D2"/>
    <w:rsid w:val="001C6E5E"/>
    <w:rsid w:val="00243EB5"/>
    <w:rsid w:val="002900F7"/>
    <w:rsid w:val="002A4C41"/>
    <w:rsid w:val="002D3442"/>
    <w:rsid w:val="003260F2"/>
    <w:rsid w:val="00337E6B"/>
    <w:rsid w:val="0034103F"/>
    <w:rsid w:val="00365076"/>
    <w:rsid w:val="003D1A26"/>
    <w:rsid w:val="003E336D"/>
    <w:rsid w:val="00403771"/>
    <w:rsid w:val="004314DA"/>
    <w:rsid w:val="00436141"/>
    <w:rsid w:val="0044655D"/>
    <w:rsid w:val="00486140"/>
    <w:rsid w:val="004F668F"/>
    <w:rsid w:val="0056158A"/>
    <w:rsid w:val="0057518E"/>
    <w:rsid w:val="005B3C6D"/>
    <w:rsid w:val="005D346F"/>
    <w:rsid w:val="005E7876"/>
    <w:rsid w:val="0061181E"/>
    <w:rsid w:val="00615E27"/>
    <w:rsid w:val="006601AE"/>
    <w:rsid w:val="006B048A"/>
    <w:rsid w:val="00702A19"/>
    <w:rsid w:val="007059D2"/>
    <w:rsid w:val="00721082"/>
    <w:rsid w:val="0078556F"/>
    <w:rsid w:val="007D2D1C"/>
    <w:rsid w:val="008722FC"/>
    <w:rsid w:val="00884544"/>
    <w:rsid w:val="00892BD5"/>
    <w:rsid w:val="008C12F2"/>
    <w:rsid w:val="008F4C42"/>
    <w:rsid w:val="00923E67"/>
    <w:rsid w:val="00943851"/>
    <w:rsid w:val="009771E7"/>
    <w:rsid w:val="00985972"/>
    <w:rsid w:val="00990357"/>
    <w:rsid w:val="009C33F4"/>
    <w:rsid w:val="00A12640"/>
    <w:rsid w:val="00A409F2"/>
    <w:rsid w:val="00A75DAB"/>
    <w:rsid w:val="00A8276A"/>
    <w:rsid w:val="00A94727"/>
    <w:rsid w:val="00A953AE"/>
    <w:rsid w:val="00A96514"/>
    <w:rsid w:val="00AB1E04"/>
    <w:rsid w:val="00AC44C8"/>
    <w:rsid w:val="00AD3FED"/>
    <w:rsid w:val="00AF16A0"/>
    <w:rsid w:val="00B66FA7"/>
    <w:rsid w:val="00B9657E"/>
    <w:rsid w:val="00BA79F0"/>
    <w:rsid w:val="00BA7A0A"/>
    <w:rsid w:val="00BB4D7E"/>
    <w:rsid w:val="00BC43E6"/>
    <w:rsid w:val="00BE4683"/>
    <w:rsid w:val="00C336AE"/>
    <w:rsid w:val="00CB497D"/>
    <w:rsid w:val="00CE74CA"/>
    <w:rsid w:val="00D00744"/>
    <w:rsid w:val="00D379A7"/>
    <w:rsid w:val="00D4513D"/>
    <w:rsid w:val="00D50155"/>
    <w:rsid w:val="00D56A9A"/>
    <w:rsid w:val="00DD7D36"/>
    <w:rsid w:val="00E029FA"/>
    <w:rsid w:val="00E30F7F"/>
    <w:rsid w:val="00EC53D1"/>
    <w:rsid w:val="00EF1DDF"/>
    <w:rsid w:val="00F3767D"/>
    <w:rsid w:val="00F911B6"/>
    <w:rsid w:val="00FA2DFD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26CA"/>
  <w15:docId w15:val="{13CC4344-01A3-4C7D-BC43-AB7EFA7D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1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D3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32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86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577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69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38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25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748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6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0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 Hipotecaria Federal S.N.C.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 Meza Veronica</dc:creator>
  <cp:lastModifiedBy>SARNDYN</cp:lastModifiedBy>
  <cp:revision>2</cp:revision>
  <dcterms:created xsi:type="dcterms:W3CDTF">2019-04-01T16:41:00Z</dcterms:created>
  <dcterms:modified xsi:type="dcterms:W3CDTF">2019-04-01T16:41:00Z</dcterms:modified>
</cp:coreProperties>
</file>